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C" w:rsidRPr="00015B70" w:rsidRDefault="00C5281C" w:rsidP="00C5281C">
      <w:pPr>
        <w:pStyle w:val="1"/>
        <w:spacing w:before="0" w:beforeAutospacing="0" w:after="0" w:afterAutospacing="0"/>
        <w:rPr>
          <w:rFonts w:ascii="Times New Roman" w:hAnsi="Times New Roman" w:cs="Minion Pro"/>
          <w:color w:val="auto"/>
          <w:sz w:val="24"/>
          <w:szCs w:val="24"/>
          <w:lang w:val="ru-RU"/>
        </w:rPr>
      </w:pPr>
      <w:bookmarkStart w:id="0" w:name="_Toc176180191"/>
      <w:r w:rsidRPr="00387F39">
        <w:rPr>
          <w:rStyle w:val="a3"/>
          <w:rFonts w:ascii="Times New Roman" w:hAnsi="Times New Roman"/>
          <w:b/>
          <w:bCs/>
          <w:color w:val="auto"/>
          <w:sz w:val="24"/>
          <w:szCs w:val="24"/>
          <w:lang w:val="ru-RU"/>
        </w:rPr>
        <w:t>Тема 1. Организационно-правовые аспекты оказания первой помощи</w:t>
      </w:r>
      <w:bookmarkEnd w:id="0"/>
    </w:p>
    <w:p w:rsidR="00C5281C" w:rsidRPr="001169B3" w:rsidRDefault="00C5281C" w:rsidP="00C5281C">
      <w:pPr>
        <w:pStyle w:val="a8"/>
        <w:spacing w:after="0" w:line="240" w:lineRule="auto"/>
        <w:jc w:val="center"/>
        <w:rPr>
          <w:sz w:val="24"/>
        </w:rPr>
      </w:pPr>
      <w:bookmarkStart w:id="1" w:name="_Toc176180197"/>
      <w:r>
        <w:rPr>
          <w:sz w:val="24"/>
        </w:rPr>
        <w:t xml:space="preserve">1.6. </w:t>
      </w:r>
      <w:r w:rsidRPr="001169B3">
        <w:rPr>
          <w:sz w:val="24"/>
        </w:rPr>
        <w:t>Перечень мероприятий по оказанию первой помощи и последовательность их выполнения</w:t>
      </w:r>
      <w:bookmarkEnd w:id="1"/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bookmarkStart w:id="2" w:name="_Hlk170548587"/>
      <w:r w:rsidRPr="001169B3">
        <w:rPr>
          <w:rFonts w:ascii="Times New Roman" w:hAnsi="Times New Roman" w:cs="Times New Roman"/>
          <w:color w:val="auto"/>
        </w:rPr>
        <w:t>1. Проведение оценки обстановки и обеспечение безопасных условий для оказания первой помощи: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</w:t>
      </w:r>
      <w:proofErr w:type="spellStart"/>
      <w:r w:rsidRPr="001169B3">
        <w:rPr>
          <w:rFonts w:ascii="Times New Roman" w:hAnsi="Times New Roman" w:cs="Times New Roman"/>
          <w:color w:val="auto"/>
        </w:rPr>
        <w:t>травмирования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пострадавшего (пострадавших);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оценка количества пострадавших;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устранение воздействия повреждающих факторов на пострадавшего;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извлечение пострадавшего из транспортного средства или других труднодоступных мест;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обеспечение проходимости дыхательных путей при их закупорке инородным телом;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перемещение пострадавшего в безопасное место.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прямым давлением на рану;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если кровотечение остановлено прямым давлением на рану - наложение давящей повязки;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3. Определение наличия признаков жизни у пострадавшего: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определение наличия сознания;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при наличии сознания - проведение подробного осмотра и опроса пострадавшего в соответствии с пунктом 5 настоящего Перечня;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определение наличия дыхания с помощью слуха, зрения и осязания.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4. Проведение сердечно-легочной реанимации и поддержание проходимости дыхательных путей: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4.1. При отсутствии у пострадавшего признаков жизни (дыхания, кровообращения):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призыв окружающих лиц (при их наличии) для содействия оказанию первой помощи, вызов скорой медицинской помощи;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сердечно-легочной реанимации на твердой ровной поверхности;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использование автоматического наружного дефибриллятора (при наличии);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lastRenderedPageBreak/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Перечня;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4.2. При наличии у пострадавшего признаков жизни (дыхания, кровообращения) и отсутствии сознания: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вызов скорой медицинской помощи (если вызов скорой медицинской помощи не был осуществлен ранее).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5. Проведение подробного осмотра и опроса пострадавшего (при наличии сознания) для выявления признаков травм, ранений, отравлений, укусов или </w:t>
      </w:r>
      <w:proofErr w:type="spellStart"/>
      <w:r w:rsidRPr="001169B3">
        <w:rPr>
          <w:rFonts w:ascii="Times New Roman" w:hAnsi="Times New Roman" w:cs="Times New Roman"/>
          <w:color w:val="auto"/>
        </w:rPr>
        <w:t>ужаливаний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ядовитых животных, поражений, вызванных механическими, химическими, электрическими, термическими поражающими факторами: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опрос пострадавшего;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головы;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шеи;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груди;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спины;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живота и таза;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проведение осмотра конечностей.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6. Выполнение мероприятий по оказанию первой помощи пострадавшему в зависимости от характера травм, ранений, отравлений, укусов или </w:t>
      </w:r>
      <w:proofErr w:type="spellStart"/>
      <w:r w:rsidRPr="001169B3">
        <w:rPr>
          <w:rFonts w:ascii="Times New Roman" w:hAnsi="Times New Roman" w:cs="Times New Roman"/>
          <w:color w:val="auto"/>
        </w:rPr>
        <w:t>ужаливаний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6.1. При ранении грудной клетки - наложение окклюзионной (герметизирующей) повязки;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6.2. При отравлении через рот - промывание желудка путем приема воды и вызывания рвоты;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6.3. При травмах, воздействиях излучения, высоких температур, химических веществ, укусах или </w:t>
      </w:r>
      <w:proofErr w:type="spellStart"/>
      <w:r w:rsidRPr="001169B3">
        <w:rPr>
          <w:rFonts w:ascii="Times New Roman" w:hAnsi="Times New Roman" w:cs="Times New Roman"/>
          <w:color w:val="auto"/>
        </w:rPr>
        <w:t>ужаливаниях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ядовитых животных - охлаждение;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6.4. При эффектах воздействия низких температур - проведение термоизоляции и согревания;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6.5. При травмах различных областей тела - наложение повязок;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6.7. При судорожном приступе, сопровождающимся потерей сознания, - не препятствуя судорожным движениям, предотвращение дополнительного </w:t>
      </w:r>
      <w:proofErr w:type="spellStart"/>
      <w:r w:rsidRPr="001169B3">
        <w:rPr>
          <w:rFonts w:ascii="Times New Roman" w:hAnsi="Times New Roman" w:cs="Times New Roman"/>
          <w:color w:val="auto"/>
        </w:rPr>
        <w:t>травмирования</w:t>
      </w:r>
      <w:proofErr w:type="spellEnd"/>
      <w:r w:rsidRPr="001169B3">
        <w:rPr>
          <w:rFonts w:ascii="Times New Roman" w:hAnsi="Times New Roman" w:cs="Times New Roman"/>
          <w:color w:val="auto"/>
        </w:rPr>
        <w:t xml:space="preserve">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8. Придание и поддержание оптимального положения тела пострадавшего.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 xml:space="preserve">9. </w:t>
      </w:r>
      <w:proofErr w:type="gramStart"/>
      <w:r w:rsidRPr="001169B3">
        <w:rPr>
          <w:rFonts w:ascii="Times New Roman" w:hAnsi="Times New Roman" w:cs="Times New Roman"/>
          <w:color w:val="auto"/>
        </w:rPr>
        <w:t xml:space="preserve">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</w:t>
      </w:r>
      <w:r w:rsidRPr="001169B3">
        <w:rPr>
          <w:rFonts w:ascii="Times New Roman" w:hAnsi="Times New Roman" w:cs="Times New Roman"/>
          <w:color w:val="auto"/>
        </w:rPr>
        <w:lastRenderedPageBreak/>
        <w:t>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  <w:proofErr w:type="gramEnd"/>
    </w:p>
    <w:bookmarkEnd w:id="2"/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t>Общая последовательность действий на месте происшествия представляет собой Универсальный алгоритм оказания первой помощи, который может быть графически изображен в виде схемы (рисунок 2).</w:t>
      </w: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1169B3">
        <w:rPr>
          <w:rFonts w:ascii="Times New Roman" w:hAnsi="Times New Roman" w:cs="Times New Roman"/>
          <w:color w:val="auto"/>
        </w:rPr>
        <w:t>В соответствии со ст. 17.1 Федерального закона от 31.05.1996 № 61-ФЗ «Об обороне» Министерством обороны Российской Федерации разработан и утвержден особый перечень состояний, при которых оказывается первая п</w:t>
      </w:r>
      <w:r w:rsidRPr="001169B3">
        <w:rPr>
          <w:rFonts w:ascii="Times New Roman" w:hAnsi="Times New Roman" w:cs="Times New Roman"/>
          <w:color w:val="auto"/>
        </w:rPr>
        <w:t>о</w:t>
      </w:r>
      <w:r w:rsidRPr="001169B3">
        <w:rPr>
          <w:rFonts w:ascii="Times New Roman" w:hAnsi="Times New Roman" w:cs="Times New Roman"/>
          <w:color w:val="auto"/>
        </w:rPr>
        <w:t>мощь военнослужащим Вооруженных Сил Российской Федерации, других войск, воинских формирований и органов в условиях военного времени, в</w:t>
      </w:r>
      <w:r w:rsidRPr="001169B3">
        <w:rPr>
          <w:rFonts w:ascii="Times New Roman" w:hAnsi="Times New Roman" w:cs="Times New Roman"/>
          <w:color w:val="auto"/>
        </w:rPr>
        <w:t>е</w:t>
      </w:r>
      <w:r w:rsidRPr="001169B3">
        <w:rPr>
          <w:rFonts w:ascii="Times New Roman" w:hAnsi="Times New Roman" w:cs="Times New Roman"/>
          <w:color w:val="auto"/>
        </w:rPr>
        <w:t>дения военных (боевых) действий, выполнения боевых (учебно-боевых), служебно-боевых (оперативно-служебных) задач в области обороны, и пр</w:t>
      </w:r>
      <w:r w:rsidRPr="001169B3">
        <w:rPr>
          <w:rFonts w:ascii="Times New Roman" w:hAnsi="Times New Roman" w:cs="Times New Roman"/>
          <w:color w:val="auto"/>
        </w:rPr>
        <w:t>а</w:t>
      </w:r>
      <w:r w:rsidRPr="001169B3">
        <w:rPr>
          <w:rFonts w:ascii="Times New Roman" w:hAnsi="Times New Roman" w:cs="Times New Roman"/>
          <w:color w:val="auto"/>
        </w:rPr>
        <w:t>вила ее оказания</w:t>
      </w:r>
      <w:r w:rsidRPr="001169B3">
        <w:rPr>
          <w:rStyle w:val="a7"/>
          <w:rFonts w:ascii="Times New Roman" w:hAnsi="Times New Roman" w:cs="Times New Roman"/>
        </w:rPr>
        <w:footnoteReference w:id="1"/>
      </w:r>
      <w:r w:rsidRPr="001169B3">
        <w:rPr>
          <w:rFonts w:ascii="Times New Roman" w:hAnsi="Times New Roman" w:cs="Times New Roman"/>
          <w:color w:val="auto"/>
        </w:rPr>
        <w:t>.</w:t>
      </w:r>
      <w:proofErr w:type="gramEnd"/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5281C" w:rsidRPr="001169B3" w:rsidRDefault="00C5281C" w:rsidP="00C5281C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C5281C" w:rsidRPr="001169B3" w:rsidRDefault="00C5281C" w:rsidP="00C5281C">
      <w:pPr>
        <w:pStyle w:val="a4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lastRenderedPageBreak/>
        <w:drawing>
          <wp:inline distT="0" distB="0" distL="0" distR="0">
            <wp:extent cx="6390005" cy="9080500"/>
            <wp:effectExtent l="19050" t="0" r="0" b="0"/>
            <wp:docPr id="1" name="Рисунок 1" descr="Первая помощь_отсутствие сознания_схема в учебник_2024-07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_отсутствие сознания_схема в учебник_2024-07-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81C" w:rsidRPr="001169B3" w:rsidRDefault="00C5281C" w:rsidP="00C5281C">
      <w:pPr>
        <w:pStyle w:val="a4"/>
        <w:spacing w:line="240" w:lineRule="auto"/>
        <w:ind w:firstLine="708"/>
        <w:jc w:val="center"/>
        <w:rPr>
          <w:rFonts w:ascii="Times New Roman" w:hAnsi="Times New Roman" w:cs="Times New Roman"/>
          <w:color w:val="auto"/>
        </w:rPr>
      </w:pPr>
      <w:r w:rsidRPr="001169B3">
        <w:rPr>
          <w:rFonts w:ascii="Times New Roman" w:hAnsi="Times New Roman" w:cs="Times New Roman"/>
          <w:color w:val="auto"/>
        </w:rPr>
        <w:lastRenderedPageBreak/>
        <w:t>Рисунок 2</w:t>
      </w:r>
    </w:p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A7" w:rsidRDefault="00F37FA7" w:rsidP="00C5281C">
      <w:pPr>
        <w:spacing w:after="0" w:line="240" w:lineRule="auto"/>
      </w:pPr>
      <w:r>
        <w:separator/>
      </w:r>
    </w:p>
  </w:endnote>
  <w:endnote w:type="continuationSeparator" w:id="0">
    <w:p w:rsidR="00F37FA7" w:rsidRDefault="00F37FA7" w:rsidP="00C5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A7" w:rsidRDefault="00F37FA7" w:rsidP="00C5281C">
      <w:pPr>
        <w:spacing w:after="0" w:line="240" w:lineRule="auto"/>
      </w:pPr>
      <w:r>
        <w:separator/>
      </w:r>
    </w:p>
  </w:footnote>
  <w:footnote w:type="continuationSeparator" w:id="0">
    <w:p w:rsidR="00F37FA7" w:rsidRDefault="00F37FA7" w:rsidP="00C5281C">
      <w:pPr>
        <w:spacing w:after="0" w:line="240" w:lineRule="auto"/>
      </w:pPr>
      <w:r>
        <w:continuationSeparator/>
      </w:r>
    </w:p>
  </w:footnote>
  <w:footnote w:id="1">
    <w:p w:rsidR="00C5281C" w:rsidRPr="009554A7" w:rsidRDefault="00C5281C" w:rsidP="00C5281C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9554A7">
        <w:rPr>
          <w:rFonts w:ascii="Times New Roman" w:hAnsi="Times New Roman"/>
        </w:rPr>
        <w:t>См.: Приказ Министра обороны Российской Федерации от 09.12.2022</w:t>
      </w:r>
      <w:r>
        <w:rPr>
          <w:rFonts w:ascii="Times New Roman" w:hAnsi="Times New Roman"/>
        </w:rPr>
        <w:t xml:space="preserve"> № 760</w:t>
      </w:r>
      <w:r w:rsidRPr="009554A7">
        <w:rPr>
          <w:rFonts w:ascii="Times New Roman" w:hAnsi="Times New Roman"/>
        </w:rPr>
        <w:t xml:space="preserve"> «Об утверждении Перечня состояний, при которых оказывается первая помощь военнослужащим Вооруженных Сил Российской Федерации, войск национальной гвардии Российской Федерации,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Службы внешней разведки Российской Федерации, органов федеральной службы безопасности, органов государственной охраны, органов военной прокуратуры</w:t>
      </w:r>
      <w:proofErr w:type="gramEnd"/>
      <w:r w:rsidRPr="009554A7">
        <w:rPr>
          <w:rFonts w:ascii="Times New Roman" w:hAnsi="Times New Roman"/>
        </w:rPr>
        <w:t>, военных следственных органов Следственного комитета Российской Федерации, Главного управления специальных программ Президента Российской Федерации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обороны, а также правил ее оказания»</w:t>
      </w:r>
    </w:p>
    <w:p w:rsidR="00C5281C" w:rsidRDefault="00C5281C" w:rsidP="00C5281C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81C"/>
    <w:rsid w:val="0011019F"/>
    <w:rsid w:val="0012241F"/>
    <w:rsid w:val="004E6DC3"/>
    <w:rsid w:val="00961483"/>
    <w:rsid w:val="009E229E"/>
    <w:rsid w:val="00BC75D6"/>
    <w:rsid w:val="00C5281C"/>
    <w:rsid w:val="00D64001"/>
    <w:rsid w:val="00F37FA7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01"/>
  </w:style>
  <w:style w:type="paragraph" w:styleId="1">
    <w:name w:val="heading 1"/>
    <w:basedOn w:val="a"/>
    <w:next w:val="a"/>
    <w:link w:val="10"/>
    <w:qFormat/>
    <w:rsid w:val="00C5281C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81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3">
    <w:name w:val="выделения"/>
    <w:uiPriority w:val="99"/>
    <w:rsid w:val="00C5281C"/>
    <w:rPr>
      <w:rFonts w:ascii="Minion Pro" w:hAnsi="Minion Pro" w:cs="Minion Pro"/>
      <w:b/>
      <w:bCs/>
      <w:color w:val="000000"/>
      <w:sz w:val="32"/>
      <w:szCs w:val="32"/>
    </w:rPr>
  </w:style>
  <w:style w:type="paragraph" w:customStyle="1" w:styleId="a4">
    <w:name w:val="[Основной абзац]"/>
    <w:basedOn w:val="a"/>
    <w:uiPriority w:val="99"/>
    <w:rsid w:val="00C528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C528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5281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rsid w:val="00C5281C"/>
    <w:rPr>
      <w:vertAlign w:val="superscript"/>
    </w:rPr>
  </w:style>
  <w:style w:type="paragraph" w:styleId="a8">
    <w:name w:val="Subtitle"/>
    <w:basedOn w:val="a"/>
    <w:next w:val="a"/>
    <w:link w:val="a9"/>
    <w:qFormat/>
    <w:rsid w:val="00C5281C"/>
    <w:pPr>
      <w:spacing w:after="60" w:line="259" w:lineRule="auto"/>
      <w:outlineLvl w:val="1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9">
    <w:name w:val="Подзаголовок Знак"/>
    <w:basedOn w:val="a0"/>
    <w:link w:val="a8"/>
    <w:rsid w:val="00C5281C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2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PU3t1ODfEUu8pqjaQrlrSVfDXko=</DigestValue>
    </Reference>
    <Reference URI="#idOfficeObject" Type="http://www.w3.org/2000/09/xmldsig#Object">
      <DigestMethod Algorithm="http://www.w3.org/2000/09/xmldsig#sha1"/>
      <DigestValue>WdljTQvoV2xkLTHpB7p1KBh4lQE=</DigestValue>
    </Reference>
  </SignedInfo>
  <SignatureValue>
    WrXlFySPt03PsgRQxSC5+a35Zw5Iw90kNed/c/aPuGAkxs1fSVwVy8oDnRa4EounuIfDevTi
    hYwY81ufxMxnzEt5v4sDHzyVqBjuefmbD5GQy4DgzwhcE5PPdiYThdgNmU60zM3Mde42FNKh
    MXRRfw0V2myoX6XNY0IRVP9f3II=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DTGwklpHsYXFbwcuVjo8553HFRM=</DigestValue>
      </Reference>
      <Reference URI="/word/document.xml?ContentType=application/vnd.openxmlformats-officedocument.wordprocessingml.document.main+xml">
        <DigestMethod Algorithm="http://www.w3.org/2000/09/xmldsig#sha1"/>
        <DigestValue>yI2KOuDQQozfKhDFGZNEbv+icb4=</DigestValue>
      </Reference>
      <Reference URI="/word/endnotes.xml?ContentType=application/vnd.openxmlformats-officedocument.wordprocessingml.endnotes+xml">
        <DigestMethod Algorithm="http://www.w3.org/2000/09/xmldsig#sha1"/>
        <DigestValue>HmhUeheoBk3cbv4jDlKN0nw/Ip8=</DigestValue>
      </Reference>
      <Reference URI="/word/fontTable.xml?ContentType=application/vnd.openxmlformats-officedocument.wordprocessingml.fontTable+xml">
        <DigestMethod Algorithm="http://www.w3.org/2000/09/xmldsig#sha1"/>
        <DigestValue>Sl/GW6iaGo8Cy32weaFVcxWE89Y=</DigestValue>
      </Reference>
      <Reference URI="/word/footnotes.xml?ContentType=application/vnd.openxmlformats-officedocument.wordprocessingml.footnotes+xml">
        <DigestMethod Algorithm="http://www.w3.org/2000/09/xmldsig#sha1"/>
        <DigestValue>YXuHFnOplSLvFA8Z9Z3sUx0NXNo=</DigestValue>
      </Reference>
      <Reference URI="/word/media/image1.jpeg?ContentType=image/jpeg">
        <DigestMethod Algorithm="http://www.w3.org/2000/09/xmldsig#sha1"/>
        <DigestValue>AIovzpDVl940mi1E4K0ahTLPD34=</DigestValue>
      </Reference>
      <Reference URI="/word/settings.xml?ContentType=application/vnd.openxmlformats-officedocument.wordprocessingml.settings+xml">
        <DigestMethod Algorithm="http://www.w3.org/2000/09/xmldsig#sha1"/>
        <DigestValue>1BBfsGiQ+DO+D5yH2SPo1yxaLHQ=</DigestValue>
      </Reference>
      <Reference URI="/word/styles.xml?ContentType=application/vnd.openxmlformats-officedocument.wordprocessingml.styles+xml">
        <DigestMethod Algorithm="http://www.w3.org/2000/09/xmldsig#sha1"/>
        <DigestValue>wBGFL8J4Mo7K//KYc7uoXtpoCUI=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2024-12-26T04:38:23Z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документа_Тема_1_1_6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5869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2024-09-17T04:44:00Z</dcterms:created>
  <dcterms:modified xsi:type="dcterms:W3CDTF">2024-09-17T04:53:00Z</dcterms:modified>
</cp:coreProperties>
</file>